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69" w:rsidRDefault="00CB6469" w:rsidP="000410D2">
      <w:r w:rsidRPr="00CB6469">
        <w:t>In December of 1860, after Lincoln won the pres</w:t>
      </w:r>
      <w:bookmarkStart w:id="0" w:name="_GoBack"/>
      <w:bookmarkEnd w:id="0"/>
      <w:r w:rsidRPr="00CB6469">
        <w:t>idential election, Southern states began seceding from the United States in an effort to preserve their way of life</w:t>
      </w:r>
      <w:r w:rsidRPr="00CB6469">
        <w:rPr>
          <w:b/>
        </w:rPr>
        <w:t xml:space="preserve">. </w:t>
      </w:r>
      <w:r w:rsidRPr="00BD4A3F">
        <w:rPr>
          <w:b/>
        </w:rPr>
        <w:t>What was it exactly about that way of life that southerners were so determined to preserve?</w:t>
      </w:r>
      <w:r w:rsidRPr="00CB6469">
        <w:t xml:space="preserve"> For decades prior to the war, tensions between the North and South continued to escalate as both regions traveled down different paths of advancement. The North, fueled by an immigration boom, industrialized, whereas Southern reliance on "King Cotton" kept them agriculturally tied to the </w:t>
      </w:r>
      <w:r w:rsidR="0041008E" w:rsidRPr="00CB6469">
        <w:t>land</w:t>
      </w:r>
      <w:r w:rsidRPr="00CB6469">
        <w:t xml:space="preserve"> and dependent on the institution of chattel slavery.</w:t>
      </w:r>
    </w:p>
    <w:p w:rsidR="00CB6469" w:rsidRDefault="00CB6469" w:rsidP="00CB6469">
      <w:pPr>
        <w:rPr>
          <w:b/>
          <w:u w:val="single"/>
        </w:rPr>
      </w:pPr>
      <w:r w:rsidRPr="00CB6469">
        <w:rPr>
          <w:b/>
          <w:u w:val="single"/>
        </w:rPr>
        <w:t>Objective</w:t>
      </w:r>
    </w:p>
    <w:p w:rsidR="00BD4A3F" w:rsidRDefault="00CB6469" w:rsidP="00CB6469">
      <w:r w:rsidRPr="00CB6469">
        <w:t>Which side possessed the overall advantage at the start of the Civil War?</w:t>
      </w:r>
      <w:r w:rsidR="0041008E">
        <w:t xml:space="preserve"> </w:t>
      </w:r>
    </w:p>
    <w:p w:rsidR="00CB6469" w:rsidRDefault="0041008E" w:rsidP="00CB6469">
      <w:r>
        <w:t xml:space="preserve">(Consider the </w:t>
      </w:r>
      <w:r w:rsidRPr="00BD4A3F">
        <w:rPr>
          <w:b/>
        </w:rPr>
        <w:t>economic</w:t>
      </w:r>
      <w:r>
        <w:t xml:space="preserve">, </w:t>
      </w:r>
      <w:r w:rsidRPr="00BD4A3F">
        <w:rPr>
          <w:b/>
        </w:rPr>
        <w:t>military</w:t>
      </w:r>
      <w:r>
        <w:t xml:space="preserve">, and </w:t>
      </w:r>
      <w:r w:rsidRPr="00BD4A3F">
        <w:rPr>
          <w:b/>
        </w:rPr>
        <w:t>diplomatic balance</w:t>
      </w:r>
      <w:r>
        <w:t xml:space="preserve"> of the North and South)</w:t>
      </w:r>
    </w:p>
    <w:p w:rsidR="00CB6469" w:rsidRDefault="00DC73E5" w:rsidP="00DC73E5">
      <w:pPr>
        <w:jc w:val="center"/>
        <w:rPr>
          <w:b/>
          <w:u w:val="single"/>
        </w:rPr>
      </w:pPr>
      <w:r>
        <w:rPr>
          <w:b/>
          <w:u w:val="single"/>
        </w:rPr>
        <w:t>Sources</w:t>
      </w:r>
    </w:p>
    <w:p w:rsidR="00DC73E5" w:rsidRPr="00BD4A3F" w:rsidRDefault="00C95020" w:rsidP="00CB6469">
      <w:pPr>
        <w:rPr>
          <w:b/>
          <w:sz w:val="28"/>
          <w:szCs w:val="28"/>
          <w:u w:val="single"/>
        </w:rPr>
      </w:pPr>
      <w:r w:rsidRPr="00BD4A3F">
        <w:rPr>
          <w:b/>
          <w:sz w:val="28"/>
          <w:szCs w:val="28"/>
          <w:u w:val="single"/>
        </w:rPr>
        <w:t>Military</w:t>
      </w:r>
    </w:p>
    <w:p w:rsidR="00DC73E5" w:rsidRPr="00DC73E5" w:rsidRDefault="00DC73E5" w:rsidP="00DC73E5">
      <w:pPr>
        <w:spacing w:line="240" w:lineRule="auto"/>
        <w:contextualSpacing/>
        <w:rPr>
          <w:b/>
        </w:rPr>
      </w:pPr>
      <w:r w:rsidRPr="00DC73E5">
        <w:rPr>
          <w:b/>
        </w:rPr>
        <w:t>“Meet the Army Commanders!”</w:t>
      </w:r>
    </w:p>
    <w:p w:rsidR="000410D2" w:rsidRDefault="00C56644" w:rsidP="00DC73E5">
      <w:pPr>
        <w:spacing w:line="240" w:lineRule="auto"/>
        <w:contextualSpacing/>
        <w:rPr>
          <w:b/>
          <w:u w:val="single"/>
        </w:rPr>
      </w:pPr>
      <w:hyperlink r:id="rId7" w:history="1">
        <w:r w:rsidR="000410D2" w:rsidRPr="003E567B">
          <w:rPr>
            <w:rStyle w:val="Hyperlink"/>
            <w:b/>
          </w:rPr>
          <w:t>http://teachingamericanhistory.org/static/neh/interactives/cmdrs/</w:t>
        </w:r>
      </w:hyperlink>
    </w:p>
    <w:p w:rsidR="00DC73E5" w:rsidRDefault="00DC73E5" w:rsidP="00DC73E5">
      <w:pPr>
        <w:spacing w:line="240" w:lineRule="auto"/>
        <w:contextualSpacing/>
        <w:rPr>
          <w:b/>
          <w:u w:val="single"/>
        </w:rPr>
      </w:pPr>
    </w:p>
    <w:p w:rsidR="00DC73E5" w:rsidRPr="00DC73E5" w:rsidRDefault="00DC73E5" w:rsidP="00DC73E5">
      <w:pPr>
        <w:rPr>
          <w:b/>
          <w:u w:val="single"/>
        </w:rPr>
      </w:pPr>
      <w:r w:rsidRPr="00DC73E5">
        <w:rPr>
          <w:b/>
        </w:rPr>
        <w:t>President Abraham Lincoln’s Proclamation Calling Militia and Convening Congress, April 15, 1861:</w:t>
      </w:r>
      <w:r w:rsidRPr="00DC73E5">
        <w:rPr>
          <w:b/>
          <w:u w:val="single"/>
        </w:rPr>
        <w:t xml:space="preserve"> http://www.teachingamericanhistory.org/library/index.asp?document=411 </w:t>
      </w:r>
    </w:p>
    <w:p w:rsidR="00DC73E5" w:rsidRDefault="00DC73E5" w:rsidP="00DC73E5">
      <w:pPr>
        <w:rPr>
          <w:b/>
          <w:u w:val="single"/>
        </w:rPr>
      </w:pPr>
      <w:r w:rsidRPr="00DC73E5">
        <w:rPr>
          <w:b/>
        </w:rPr>
        <w:t>President Jefferson’ Davis’s message to the Confederate Congress, April 29, 1861:</w:t>
      </w:r>
      <w:r w:rsidRPr="00DC73E5">
        <w:rPr>
          <w:b/>
          <w:u w:val="single"/>
        </w:rPr>
        <w:t xml:space="preserve"> http://www.yale.edu/lawweb/avalon/csa/m042961.htm</w:t>
      </w:r>
    </w:p>
    <w:p w:rsidR="00C95020" w:rsidRPr="00BD4A3F" w:rsidRDefault="00C95020" w:rsidP="00CB6469">
      <w:pPr>
        <w:rPr>
          <w:b/>
          <w:sz w:val="28"/>
          <w:szCs w:val="28"/>
          <w:u w:val="single"/>
        </w:rPr>
      </w:pPr>
      <w:r w:rsidRPr="00BD4A3F">
        <w:rPr>
          <w:b/>
          <w:sz w:val="28"/>
          <w:szCs w:val="28"/>
          <w:u w:val="single"/>
        </w:rPr>
        <w:t>Economic</w:t>
      </w:r>
    </w:p>
    <w:p w:rsidR="000410D2" w:rsidRDefault="00C56644" w:rsidP="00CB6469">
      <w:pPr>
        <w:rPr>
          <w:b/>
          <w:u w:val="single"/>
        </w:rPr>
      </w:pPr>
      <w:hyperlink r:id="rId8" w:history="1">
        <w:r w:rsidR="000410D2" w:rsidRPr="003E567B">
          <w:rPr>
            <w:rStyle w:val="Hyperlink"/>
            <w:b/>
          </w:rPr>
          <w:t>http://teachingamericanhistory.org/static/neh/interactives/civilwar/lesson1/civil_war.swf</w:t>
        </w:r>
      </w:hyperlink>
    </w:p>
    <w:p w:rsidR="000410D2" w:rsidRDefault="00C56644" w:rsidP="00CB6469">
      <w:pPr>
        <w:rPr>
          <w:b/>
          <w:u w:val="single"/>
        </w:rPr>
      </w:pPr>
      <w:hyperlink r:id="rId9" w:history="1">
        <w:r w:rsidR="000410D2" w:rsidRPr="003E567B">
          <w:rPr>
            <w:rStyle w:val="Hyperlink"/>
            <w:b/>
          </w:rPr>
          <w:t>http://www.gilderlehrman.org/history-by-era/american-civil-war/resources/north-south-comparisons</w:t>
        </w:r>
      </w:hyperlink>
    </w:p>
    <w:p w:rsidR="00C95020" w:rsidRPr="00BD4A3F" w:rsidRDefault="00C95020" w:rsidP="00CB6469">
      <w:pPr>
        <w:rPr>
          <w:b/>
          <w:sz w:val="28"/>
          <w:szCs w:val="28"/>
          <w:u w:val="single"/>
        </w:rPr>
      </w:pPr>
      <w:r w:rsidRPr="00BD4A3F">
        <w:rPr>
          <w:b/>
          <w:sz w:val="28"/>
          <w:szCs w:val="28"/>
          <w:u w:val="single"/>
        </w:rPr>
        <w:t>Diplomatic</w:t>
      </w:r>
    </w:p>
    <w:p w:rsidR="00DC73E5" w:rsidRPr="00DC73E5" w:rsidRDefault="00DC73E5" w:rsidP="00DC73E5">
      <w:pPr>
        <w:spacing w:line="240" w:lineRule="auto"/>
        <w:contextualSpacing/>
        <w:rPr>
          <w:b/>
        </w:rPr>
      </w:pPr>
      <w:r w:rsidRPr="00DC73E5">
        <w:rPr>
          <w:b/>
        </w:rPr>
        <w:t xml:space="preserve">Speech by Sen. James Henry Hammond (Democrat-South Carolina) before the United States Senate, March 4, 1858: </w:t>
      </w:r>
    </w:p>
    <w:p w:rsidR="00DC73E5" w:rsidRDefault="00C56644" w:rsidP="00DC73E5">
      <w:pPr>
        <w:spacing w:line="240" w:lineRule="auto"/>
        <w:contextualSpacing/>
        <w:rPr>
          <w:b/>
          <w:u w:val="single"/>
        </w:rPr>
      </w:pPr>
      <w:hyperlink r:id="rId10" w:history="1">
        <w:r w:rsidR="00DC73E5" w:rsidRPr="003E567B">
          <w:rPr>
            <w:rStyle w:val="Hyperlink"/>
            <w:b/>
          </w:rPr>
          <w:t>http://teachingamericanhistory.org/library/index.asp?document=1722</w:t>
        </w:r>
      </w:hyperlink>
    </w:p>
    <w:p w:rsidR="00DC73E5" w:rsidRDefault="00DC73E5" w:rsidP="00DC73E5">
      <w:pPr>
        <w:spacing w:line="240" w:lineRule="auto"/>
        <w:contextualSpacing/>
        <w:rPr>
          <w:b/>
          <w:u w:val="single"/>
        </w:rPr>
      </w:pPr>
    </w:p>
    <w:p w:rsidR="00DC73E5" w:rsidRDefault="00DC73E5" w:rsidP="00DC73E5">
      <w:pPr>
        <w:spacing w:line="240" w:lineRule="auto"/>
        <w:contextualSpacing/>
        <w:rPr>
          <w:b/>
          <w:u w:val="single"/>
        </w:rPr>
      </w:pPr>
      <w:r w:rsidRPr="00DC73E5">
        <w:rPr>
          <w:b/>
        </w:rPr>
        <w:t>“The Secession of Virginia and the American Civil War,” Illustrated London News, May 18, 1861:</w:t>
      </w:r>
      <w:r w:rsidRPr="00DC73E5">
        <w:rPr>
          <w:b/>
          <w:u w:val="single"/>
        </w:rPr>
        <w:t xml:space="preserve"> </w:t>
      </w:r>
      <w:hyperlink r:id="rId11" w:history="1">
        <w:r w:rsidRPr="003E567B">
          <w:rPr>
            <w:rStyle w:val="Hyperlink"/>
            <w:b/>
          </w:rPr>
          <w:t>http://beck.library.emory.edu/iln/browse.php?id=iln38.1089.111</w:t>
        </w:r>
      </w:hyperlink>
    </w:p>
    <w:p w:rsidR="00DC73E5" w:rsidRDefault="00DC73E5" w:rsidP="00DC73E5">
      <w:pPr>
        <w:spacing w:line="240" w:lineRule="auto"/>
        <w:contextualSpacing/>
        <w:rPr>
          <w:b/>
          <w:u w:val="single"/>
        </w:rPr>
      </w:pPr>
    </w:p>
    <w:p w:rsidR="00DC73E5" w:rsidRDefault="00DC73E5" w:rsidP="00DC73E5">
      <w:pPr>
        <w:spacing w:line="240" w:lineRule="auto"/>
        <w:contextualSpacing/>
        <w:rPr>
          <w:b/>
          <w:u w:val="single"/>
        </w:rPr>
      </w:pPr>
    </w:p>
    <w:p w:rsidR="00DC73E5" w:rsidRDefault="00DC73E5" w:rsidP="00DC73E5">
      <w:pPr>
        <w:spacing w:line="240" w:lineRule="auto"/>
        <w:contextualSpacing/>
        <w:rPr>
          <w:b/>
          <w:u w:val="single"/>
        </w:rPr>
      </w:pPr>
    </w:p>
    <w:p w:rsidR="00DC73E5" w:rsidRDefault="00DC73E5" w:rsidP="00CB6469">
      <w:pPr>
        <w:rPr>
          <w:b/>
          <w:u w:val="single"/>
        </w:rPr>
      </w:pPr>
    </w:p>
    <w:p w:rsidR="00C95020" w:rsidRDefault="00C95020" w:rsidP="00C95020">
      <w:pP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C95020" w:rsidRPr="0041008E" w:rsidRDefault="00C95020" w:rsidP="00C95020">
      <w:pPr>
        <w:jc w:val="center"/>
        <w:rPr>
          <w:b/>
          <w:u w:val="single"/>
        </w:rPr>
      </w:pPr>
    </w:p>
    <w:p w:rsidR="00CB6469" w:rsidRDefault="00CB6469" w:rsidP="00CB6469">
      <w:r>
        <w:t xml:space="preserve"> </w:t>
      </w:r>
    </w:p>
    <w:p w:rsidR="00F92000" w:rsidRDefault="00F92000" w:rsidP="00CB6469"/>
    <w:sectPr w:rsidR="00F920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3F" w:rsidRDefault="00BD4A3F" w:rsidP="00BD4A3F">
      <w:pPr>
        <w:spacing w:after="0" w:line="240" w:lineRule="auto"/>
      </w:pPr>
      <w:r>
        <w:separator/>
      </w:r>
    </w:p>
  </w:endnote>
  <w:endnote w:type="continuationSeparator" w:id="0">
    <w:p w:rsidR="00BD4A3F" w:rsidRDefault="00BD4A3F" w:rsidP="00BD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3F" w:rsidRDefault="00BD4A3F" w:rsidP="00BD4A3F">
      <w:pPr>
        <w:spacing w:after="0" w:line="240" w:lineRule="auto"/>
      </w:pPr>
      <w:r>
        <w:separator/>
      </w:r>
    </w:p>
  </w:footnote>
  <w:footnote w:type="continuationSeparator" w:id="0">
    <w:p w:rsidR="00BD4A3F" w:rsidRDefault="00BD4A3F" w:rsidP="00BD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3F" w:rsidRPr="00BD4A3F" w:rsidRDefault="00BD4A3F" w:rsidP="00BD4A3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64D0"/>
    <w:multiLevelType w:val="hybridMultilevel"/>
    <w:tmpl w:val="9350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02A66"/>
    <w:multiLevelType w:val="hybridMultilevel"/>
    <w:tmpl w:val="6C52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69"/>
    <w:rsid w:val="0003561A"/>
    <w:rsid w:val="000410D2"/>
    <w:rsid w:val="00181D0F"/>
    <w:rsid w:val="0041008E"/>
    <w:rsid w:val="00BD4A3F"/>
    <w:rsid w:val="00C56644"/>
    <w:rsid w:val="00C95020"/>
    <w:rsid w:val="00CB6469"/>
    <w:rsid w:val="00D1333F"/>
    <w:rsid w:val="00D94FDA"/>
    <w:rsid w:val="00DC73E5"/>
    <w:rsid w:val="00F92000"/>
    <w:rsid w:val="00FD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9A022-4A94-4613-872C-A8E92421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69"/>
    <w:pPr>
      <w:ind w:left="720"/>
      <w:contextualSpacing/>
    </w:pPr>
  </w:style>
  <w:style w:type="character" w:styleId="Hyperlink">
    <w:name w:val="Hyperlink"/>
    <w:basedOn w:val="DefaultParagraphFont"/>
    <w:uiPriority w:val="99"/>
    <w:unhideWhenUsed/>
    <w:rsid w:val="000410D2"/>
    <w:rPr>
      <w:color w:val="0000FF" w:themeColor="hyperlink"/>
      <w:u w:val="single"/>
    </w:rPr>
  </w:style>
  <w:style w:type="table" w:styleId="TableGrid">
    <w:name w:val="Table Grid"/>
    <w:basedOn w:val="TableNormal"/>
    <w:uiPriority w:val="59"/>
    <w:rsid w:val="0004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5020"/>
    <w:rPr>
      <w:color w:val="800080" w:themeColor="followedHyperlink"/>
      <w:u w:val="single"/>
    </w:rPr>
  </w:style>
  <w:style w:type="paragraph" w:styleId="Header">
    <w:name w:val="header"/>
    <w:basedOn w:val="Normal"/>
    <w:link w:val="HeaderChar"/>
    <w:uiPriority w:val="99"/>
    <w:unhideWhenUsed/>
    <w:rsid w:val="00BD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3F"/>
  </w:style>
  <w:style w:type="paragraph" w:styleId="Footer">
    <w:name w:val="footer"/>
    <w:basedOn w:val="Normal"/>
    <w:link w:val="FooterChar"/>
    <w:uiPriority w:val="99"/>
    <w:unhideWhenUsed/>
    <w:rsid w:val="00BD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americanhistory.org/static/neh/interactives/civilwar/lesson1/civil_war.sw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ingamericanhistory.org/static/neh/interactives/cmd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ck.library.emory.edu/iln/browse.php?id=iln38.1089.111" TargetMode="External"/><Relationship Id="rId5" Type="http://schemas.openxmlformats.org/officeDocument/2006/relationships/footnotes" Target="footnotes.xml"/><Relationship Id="rId10" Type="http://schemas.openxmlformats.org/officeDocument/2006/relationships/hyperlink" Target="http://teachingamericanhistory.org/library/index.asp?document=1722" TargetMode="External"/><Relationship Id="rId4" Type="http://schemas.openxmlformats.org/officeDocument/2006/relationships/webSettings" Target="webSettings.xml"/><Relationship Id="rId9" Type="http://schemas.openxmlformats.org/officeDocument/2006/relationships/hyperlink" Target="http://www.gilderlehrman.org/history-by-era/american-civil-war/resources/north-south-comparis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Kate Gaskins</cp:lastModifiedBy>
  <cp:revision>2</cp:revision>
  <cp:lastPrinted>2013-12-10T13:28:00Z</cp:lastPrinted>
  <dcterms:created xsi:type="dcterms:W3CDTF">2018-12-06T13:29:00Z</dcterms:created>
  <dcterms:modified xsi:type="dcterms:W3CDTF">2018-12-06T13:29:00Z</dcterms:modified>
</cp:coreProperties>
</file>