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BB" w:rsidRPr="00147FB6" w:rsidRDefault="00D709CF" w:rsidP="0038117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Chapter 7 </w:t>
      </w:r>
      <w:r>
        <w:rPr>
          <w:b/>
          <w:sz w:val="28"/>
          <w:szCs w:val="28"/>
          <w:u w:val="single"/>
        </w:rPr>
        <w:tab/>
      </w:r>
      <w:r w:rsidR="00C317BB" w:rsidRPr="00147FB6">
        <w:rPr>
          <w:b/>
          <w:sz w:val="28"/>
          <w:szCs w:val="28"/>
          <w:u w:val="single"/>
        </w:rPr>
        <w:t>Road to Revolution Activity</w:t>
      </w:r>
      <w:r>
        <w:rPr>
          <w:b/>
          <w:sz w:val="28"/>
          <w:szCs w:val="28"/>
          <w:u w:val="single"/>
        </w:rPr>
        <w:tab/>
        <w:t xml:space="preserve">Name: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Period: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381171" w:rsidRPr="002A22BA" w:rsidRDefault="00C317BB" w:rsidP="002A22BA">
      <w:pPr>
        <w:rPr>
          <w:sz w:val="24"/>
          <w:szCs w:val="24"/>
        </w:rPr>
        <w:sectPr w:rsidR="00381171" w:rsidRPr="002A22BA" w:rsidSect="0099155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47FB6">
        <w:rPr>
          <w:b/>
          <w:sz w:val="24"/>
          <w:szCs w:val="24"/>
        </w:rPr>
        <w:t xml:space="preserve">Directions: </w:t>
      </w:r>
      <w:r w:rsidRPr="00147FB6">
        <w:rPr>
          <w:sz w:val="24"/>
          <w:szCs w:val="24"/>
        </w:rPr>
        <w:t>You will be assigned one of the events below. Research the event</w:t>
      </w:r>
      <w:r w:rsidR="000140AB">
        <w:rPr>
          <w:sz w:val="24"/>
          <w:szCs w:val="24"/>
        </w:rPr>
        <w:t xml:space="preserve"> in the textbook</w:t>
      </w:r>
      <w:r w:rsidRPr="00147FB6">
        <w:rPr>
          <w:sz w:val="24"/>
          <w:szCs w:val="24"/>
        </w:rPr>
        <w:t xml:space="preserve"> and prepare to meet the requireme</w:t>
      </w:r>
      <w:r w:rsidR="001929CF" w:rsidRPr="00147FB6">
        <w:rPr>
          <w:sz w:val="24"/>
          <w:szCs w:val="24"/>
        </w:rPr>
        <w:t xml:space="preserve">nts on the rubric when </w:t>
      </w:r>
      <w:r w:rsidR="000140AB">
        <w:rPr>
          <w:sz w:val="24"/>
          <w:szCs w:val="24"/>
        </w:rPr>
        <w:t xml:space="preserve">verbally </w:t>
      </w:r>
      <w:r w:rsidR="001929CF" w:rsidRPr="00147FB6">
        <w:rPr>
          <w:sz w:val="24"/>
          <w:szCs w:val="24"/>
        </w:rPr>
        <w:t>presenting</w:t>
      </w:r>
      <w:r w:rsidRPr="00147FB6">
        <w:rPr>
          <w:sz w:val="24"/>
          <w:szCs w:val="24"/>
        </w:rPr>
        <w:t xml:space="preserve"> your event to t</w:t>
      </w:r>
      <w:r w:rsidR="0099155F" w:rsidRPr="00147FB6">
        <w:rPr>
          <w:sz w:val="24"/>
          <w:szCs w:val="24"/>
        </w:rPr>
        <w:t>h</w:t>
      </w:r>
      <w:r w:rsidR="002A22BA">
        <w:rPr>
          <w:sz w:val="24"/>
          <w:szCs w:val="24"/>
        </w:rPr>
        <w:t>e class</w:t>
      </w:r>
      <w:r w:rsidR="000140AB">
        <w:rPr>
          <w:sz w:val="24"/>
          <w:szCs w:val="24"/>
        </w:rPr>
        <w:t xml:space="preserve"> on Friday 9/28</w:t>
      </w:r>
      <w:r w:rsidRPr="00147FB6">
        <w:rPr>
          <w:sz w:val="24"/>
          <w:szCs w:val="24"/>
        </w:rPr>
        <w:t>.</w:t>
      </w:r>
      <w:r w:rsidR="002A22BA">
        <w:rPr>
          <w:sz w:val="24"/>
          <w:szCs w:val="24"/>
        </w:rPr>
        <w:t xml:space="preserve"> </w:t>
      </w:r>
    </w:p>
    <w:p w:rsidR="00381171" w:rsidRPr="000140AB" w:rsidRDefault="00641D87" w:rsidP="00147FB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140AB">
        <w:rPr>
          <w:sz w:val="20"/>
          <w:szCs w:val="20"/>
        </w:rPr>
        <w:t>Treaty of Paris 1763</w:t>
      </w:r>
      <w:r w:rsidR="00381171" w:rsidRPr="000140AB">
        <w:rPr>
          <w:sz w:val="20"/>
          <w:szCs w:val="20"/>
        </w:rPr>
        <w:t xml:space="preserve"> – P.  </w:t>
      </w:r>
      <w:r w:rsidRPr="000140AB">
        <w:rPr>
          <w:sz w:val="20"/>
          <w:szCs w:val="20"/>
        </w:rPr>
        <w:t>116</w:t>
      </w:r>
    </w:p>
    <w:p w:rsidR="00C317BB" w:rsidRPr="000140AB" w:rsidRDefault="00C317BB" w:rsidP="00147FB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140AB">
        <w:rPr>
          <w:sz w:val="20"/>
          <w:szCs w:val="20"/>
        </w:rPr>
        <w:t>Pontiac’s Rebellion  - P. 120</w:t>
      </w:r>
    </w:p>
    <w:p w:rsidR="00AB43A0" w:rsidRPr="000140AB" w:rsidRDefault="00C317BB" w:rsidP="00147FB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140AB">
        <w:rPr>
          <w:sz w:val="20"/>
          <w:szCs w:val="20"/>
        </w:rPr>
        <w:t>Proclamation on 1763 – P. 121</w:t>
      </w:r>
    </w:p>
    <w:p w:rsidR="00C317BB" w:rsidRPr="000140AB" w:rsidRDefault="00C317BB" w:rsidP="00147FB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140AB">
        <w:rPr>
          <w:sz w:val="20"/>
          <w:szCs w:val="20"/>
        </w:rPr>
        <w:t>Republicanism – P.123</w:t>
      </w:r>
    </w:p>
    <w:p w:rsidR="00C317BB" w:rsidRPr="000140AB" w:rsidRDefault="00C317BB" w:rsidP="00147FB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140AB">
        <w:rPr>
          <w:sz w:val="20"/>
          <w:szCs w:val="20"/>
        </w:rPr>
        <w:t>Radical Whigs – P. 123</w:t>
      </w:r>
    </w:p>
    <w:p w:rsidR="001929CF" w:rsidRPr="000140AB" w:rsidRDefault="001929CF" w:rsidP="00147FB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140AB">
        <w:rPr>
          <w:sz w:val="20"/>
          <w:szCs w:val="20"/>
        </w:rPr>
        <w:t>Mercantilism -- P. 123-125</w:t>
      </w:r>
    </w:p>
    <w:p w:rsidR="00C317BB" w:rsidRPr="000140AB" w:rsidRDefault="00C317BB" w:rsidP="00147FB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140AB">
        <w:rPr>
          <w:sz w:val="20"/>
          <w:szCs w:val="20"/>
        </w:rPr>
        <w:t>Navigation Law of 1650 – P. 123</w:t>
      </w:r>
    </w:p>
    <w:p w:rsidR="00895901" w:rsidRPr="000140AB" w:rsidRDefault="00895901" w:rsidP="00147FB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140AB">
        <w:rPr>
          <w:sz w:val="20"/>
          <w:szCs w:val="20"/>
        </w:rPr>
        <w:t>Sugar Act of 1764 – P. 125</w:t>
      </w:r>
    </w:p>
    <w:p w:rsidR="00895901" w:rsidRPr="000140AB" w:rsidRDefault="00895901" w:rsidP="00147FB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140AB">
        <w:rPr>
          <w:sz w:val="20"/>
          <w:szCs w:val="20"/>
        </w:rPr>
        <w:t>Quartering Act of 1765 – P. 126</w:t>
      </w:r>
    </w:p>
    <w:p w:rsidR="00895901" w:rsidRPr="000140AB" w:rsidRDefault="00895901" w:rsidP="00147FB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140AB">
        <w:rPr>
          <w:sz w:val="20"/>
          <w:szCs w:val="20"/>
        </w:rPr>
        <w:t>Stamp Act of 1765 – P.126</w:t>
      </w:r>
    </w:p>
    <w:p w:rsidR="00F10D16" w:rsidRPr="000140AB" w:rsidRDefault="00F10D16" w:rsidP="00147FB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140AB">
        <w:rPr>
          <w:sz w:val="20"/>
          <w:szCs w:val="20"/>
        </w:rPr>
        <w:t>Virtual Representation—P. 127</w:t>
      </w:r>
    </w:p>
    <w:p w:rsidR="00895901" w:rsidRPr="000140AB" w:rsidRDefault="00895901" w:rsidP="00147FB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140AB">
        <w:rPr>
          <w:sz w:val="20"/>
          <w:szCs w:val="20"/>
        </w:rPr>
        <w:t>Declaratory Act – P. 128</w:t>
      </w:r>
    </w:p>
    <w:p w:rsidR="00895901" w:rsidRPr="000140AB" w:rsidRDefault="00895901" w:rsidP="00147FB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140AB">
        <w:rPr>
          <w:sz w:val="20"/>
          <w:szCs w:val="20"/>
        </w:rPr>
        <w:t>Townshend Act – P. 129</w:t>
      </w:r>
    </w:p>
    <w:p w:rsidR="00895901" w:rsidRPr="000140AB" w:rsidRDefault="00D06123" w:rsidP="00147FB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140AB">
        <w:rPr>
          <w:sz w:val="20"/>
          <w:szCs w:val="20"/>
        </w:rPr>
        <w:t xml:space="preserve"> </w:t>
      </w:r>
      <w:r w:rsidR="00895901" w:rsidRPr="000140AB">
        <w:rPr>
          <w:sz w:val="20"/>
          <w:szCs w:val="20"/>
        </w:rPr>
        <w:t>Boston Massacre – P</w:t>
      </w:r>
      <w:r w:rsidR="00641D87" w:rsidRPr="000140AB">
        <w:rPr>
          <w:sz w:val="20"/>
          <w:szCs w:val="20"/>
        </w:rPr>
        <w:t>.</w:t>
      </w:r>
      <w:r w:rsidR="00895901" w:rsidRPr="000140AB">
        <w:rPr>
          <w:sz w:val="20"/>
          <w:szCs w:val="20"/>
        </w:rPr>
        <w:t xml:space="preserve"> 129</w:t>
      </w:r>
    </w:p>
    <w:p w:rsidR="00895901" w:rsidRPr="000140AB" w:rsidRDefault="00895901" w:rsidP="00147FB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140AB">
        <w:rPr>
          <w:sz w:val="20"/>
          <w:szCs w:val="20"/>
        </w:rPr>
        <w:t xml:space="preserve"> Committees of Correspondence – P. 131</w:t>
      </w:r>
    </w:p>
    <w:p w:rsidR="00895901" w:rsidRPr="000140AB" w:rsidRDefault="00895901" w:rsidP="00147FB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140AB">
        <w:rPr>
          <w:sz w:val="20"/>
          <w:szCs w:val="20"/>
        </w:rPr>
        <w:t xml:space="preserve"> Boston Tea Party – P. 132</w:t>
      </w:r>
    </w:p>
    <w:p w:rsidR="00895901" w:rsidRPr="000140AB" w:rsidRDefault="00895901" w:rsidP="00147FB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140AB">
        <w:rPr>
          <w:sz w:val="20"/>
          <w:szCs w:val="20"/>
        </w:rPr>
        <w:t xml:space="preserve"> “Intolerable Acts” P. 133</w:t>
      </w:r>
    </w:p>
    <w:p w:rsidR="00895901" w:rsidRPr="000140AB" w:rsidRDefault="00895901" w:rsidP="00147FB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140AB">
        <w:rPr>
          <w:sz w:val="20"/>
          <w:szCs w:val="20"/>
        </w:rPr>
        <w:t xml:space="preserve"> Quebec Act – P. 133</w:t>
      </w:r>
    </w:p>
    <w:p w:rsidR="00895901" w:rsidRPr="000140AB" w:rsidRDefault="00895901" w:rsidP="00147FB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140AB">
        <w:rPr>
          <w:sz w:val="20"/>
          <w:szCs w:val="20"/>
        </w:rPr>
        <w:t xml:space="preserve"> First Continental Congress – P. 134</w:t>
      </w:r>
    </w:p>
    <w:p w:rsidR="00895901" w:rsidRPr="000140AB" w:rsidRDefault="00895901" w:rsidP="00147FB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140AB">
        <w:rPr>
          <w:sz w:val="20"/>
          <w:szCs w:val="20"/>
        </w:rPr>
        <w:t xml:space="preserve"> </w:t>
      </w:r>
      <w:r w:rsidR="00381171" w:rsidRPr="000140AB">
        <w:rPr>
          <w:sz w:val="20"/>
          <w:szCs w:val="20"/>
        </w:rPr>
        <w:t>Lexington and Concord P.135</w:t>
      </w:r>
    </w:p>
    <w:p w:rsidR="00381171" w:rsidRPr="000140AB" w:rsidRDefault="00381171" w:rsidP="00147FB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140AB">
        <w:rPr>
          <w:sz w:val="20"/>
          <w:szCs w:val="20"/>
        </w:rPr>
        <w:t xml:space="preserve"> Second Continental Congress P. 141</w:t>
      </w:r>
    </w:p>
    <w:p w:rsidR="00381171" w:rsidRPr="000140AB" w:rsidRDefault="00381171" w:rsidP="00147FB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140AB">
        <w:rPr>
          <w:sz w:val="20"/>
          <w:szCs w:val="20"/>
        </w:rPr>
        <w:t xml:space="preserve"> Battle of Bunker Hill – P. 141</w:t>
      </w:r>
    </w:p>
    <w:p w:rsidR="00895901" w:rsidRPr="000140AB" w:rsidRDefault="00381171" w:rsidP="00147FB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140AB">
        <w:rPr>
          <w:sz w:val="20"/>
          <w:szCs w:val="20"/>
        </w:rPr>
        <w:t xml:space="preserve"> “Olive Branch Petition” – P. 143</w:t>
      </w:r>
    </w:p>
    <w:p w:rsidR="00147FB6" w:rsidRPr="000140AB" w:rsidRDefault="00147FB6" w:rsidP="00147FB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140AB">
        <w:rPr>
          <w:sz w:val="20"/>
          <w:szCs w:val="20"/>
        </w:rPr>
        <w:t xml:space="preserve"> Hiring Hessians –P. 143</w:t>
      </w:r>
    </w:p>
    <w:p w:rsidR="00381171" w:rsidRPr="000140AB" w:rsidRDefault="00381171" w:rsidP="00147FB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140AB">
        <w:rPr>
          <w:sz w:val="20"/>
          <w:szCs w:val="20"/>
        </w:rPr>
        <w:t xml:space="preserve"> Invasion of Canada – P. 143</w:t>
      </w:r>
    </w:p>
    <w:p w:rsidR="00147FB6" w:rsidRPr="000140AB" w:rsidRDefault="00147FB6" w:rsidP="00147FB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140AB">
        <w:rPr>
          <w:sz w:val="20"/>
          <w:szCs w:val="20"/>
        </w:rPr>
        <w:t>“Common Sense” – P. 145</w:t>
      </w:r>
    </w:p>
    <w:p w:rsidR="00147FB6" w:rsidRPr="000140AB" w:rsidRDefault="00147FB6" w:rsidP="00147FB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140AB">
        <w:rPr>
          <w:sz w:val="20"/>
          <w:szCs w:val="20"/>
        </w:rPr>
        <w:t xml:space="preserve"> Paine’s Republicanism –P. 145</w:t>
      </w:r>
    </w:p>
    <w:p w:rsidR="00147FB6" w:rsidRPr="000140AB" w:rsidRDefault="00147FB6" w:rsidP="00147FB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140AB">
        <w:rPr>
          <w:sz w:val="20"/>
          <w:szCs w:val="20"/>
        </w:rPr>
        <w:t xml:space="preserve"> Lee’s Resolution—P. 146</w:t>
      </w:r>
    </w:p>
    <w:p w:rsidR="00D06123" w:rsidRPr="000140AB" w:rsidRDefault="000314BD" w:rsidP="00147FB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140AB">
        <w:rPr>
          <w:sz w:val="20"/>
          <w:szCs w:val="20"/>
        </w:rPr>
        <w:t>Declaration of Independence</w:t>
      </w:r>
      <w:r w:rsidR="000140AB" w:rsidRPr="000140AB">
        <w:rPr>
          <w:sz w:val="20"/>
          <w:szCs w:val="20"/>
        </w:rPr>
        <w:t xml:space="preserve"> – P. 148</w:t>
      </w:r>
    </w:p>
    <w:p w:rsidR="00D06123" w:rsidRPr="000140AB" w:rsidRDefault="000314BD" w:rsidP="00D06123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  <w:sectPr w:rsidR="00D06123" w:rsidRPr="000140AB" w:rsidSect="0038117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0140AB">
        <w:rPr>
          <w:sz w:val="20"/>
          <w:szCs w:val="20"/>
        </w:rPr>
        <w:t>Loyalists</w:t>
      </w:r>
      <w:r w:rsidR="000140AB" w:rsidRPr="000140AB">
        <w:rPr>
          <w:sz w:val="20"/>
          <w:szCs w:val="20"/>
        </w:rPr>
        <w:t xml:space="preserve"> - P. 148-151</w:t>
      </w:r>
    </w:p>
    <w:tbl>
      <w:tblPr>
        <w:tblStyle w:val="TableGrid"/>
        <w:tblW w:w="10440" w:type="dxa"/>
        <w:tblInd w:w="-635" w:type="dxa"/>
        <w:tblLook w:val="04A0" w:firstRow="1" w:lastRow="0" w:firstColumn="1" w:lastColumn="0" w:noHBand="0" w:noVBand="1"/>
      </w:tblPr>
      <w:tblGrid>
        <w:gridCol w:w="8550"/>
        <w:gridCol w:w="1890"/>
      </w:tblGrid>
      <w:tr w:rsidR="00641D87" w:rsidRPr="00641D87" w:rsidTr="00641D87">
        <w:tc>
          <w:tcPr>
            <w:tcW w:w="8550" w:type="dxa"/>
          </w:tcPr>
          <w:p w:rsidR="00641D87" w:rsidRDefault="00991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your event to the class with </w:t>
            </w:r>
            <w:r w:rsidR="002A275C">
              <w:rPr>
                <w:sz w:val="24"/>
                <w:szCs w:val="24"/>
              </w:rPr>
              <w:t xml:space="preserve">historical </w:t>
            </w:r>
            <w:r>
              <w:rPr>
                <w:sz w:val="24"/>
                <w:szCs w:val="24"/>
              </w:rPr>
              <w:t>detail and historical context</w:t>
            </w:r>
            <w:r w:rsidR="002A275C">
              <w:rPr>
                <w:sz w:val="24"/>
                <w:szCs w:val="24"/>
              </w:rPr>
              <w:t>.</w:t>
            </w:r>
          </w:p>
          <w:p w:rsidR="00305F9F" w:rsidRDefault="00305F9F">
            <w:pPr>
              <w:rPr>
                <w:sz w:val="24"/>
                <w:szCs w:val="24"/>
              </w:rPr>
            </w:pPr>
          </w:p>
          <w:p w:rsidR="00305F9F" w:rsidRDefault="00305F9F">
            <w:pPr>
              <w:rPr>
                <w:sz w:val="24"/>
                <w:szCs w:val="24"/>
              </w:rPr>
            </w:pPr>
          </w:p>
          <w:p w:rsidR="00305F9F" w:rsidRDefault="00305F9F">
            <w:pPr>
              <w:rPr>
                <w:sz w:val="24"/>
                <w:szCs w:val="24"/>
              </w:rPr>
            </w:pPr>
          </w:p>
          <w:p w:rsidR="000140AB" w:rsidRDefault="000140AB">
            <w:pPr>
              <w:rPr>
                <w:sz w:val="24"/>
                <w:szCs w:val="24"/>
              </w:rPr>
            </w:pPr>
          </w:p>
          <w:p w:rsidR="00305F9F" w:rsidRDefault="00305F9F">
            <w:pPr>
              <w:rPr>
                <w:sz w:val="24"/>
                <w:szCs w:val="24"/>
              </w:rPr>
            </w:pPr>
          </w:p>
          <w:p w:rsidR="00305F9F" w:rsidRDefault="00305F9F">
            <w:pPr>
              <w:rPr>
                <w:sz w:val="24"/>
                <w:szCs w:val="24"/>
              </w:rPr>
            </w:pPr>
          </w:p>
          <w:p w:rsidR="00305F9F" w:rsidRDefault="00305F9F">
            <w:pPr>
              <w:rPr>
                <w:sz w:val="24"/>
                <w:szCs w:val="24"/>
              </w:rPr>
            </w:pPr>
          </w:p>
          <w:p w:rsidR="002A275C" w:rsidRDefault="002A275C">
            <w:pPr>
              <w:rPr>
                <w:sz w:val="24"/>
                <w:szCs w:val="24"/>
              </w:rPr>
            </w:pPr>
          </w:p>
          <w:p w:rsidR="00305F9F" w:rsidRDefault="00305F9F">
            <w:pPr>
              <w:rPr>
                <w:sz w:val="24"/>
                <w:szCs w:val="24"/>
              </w:rPr>
            </w:pPr>
          </w:p>
          <w:p w:rsidR="002A275C" w:rsidRPr="00641D87" w:rsidRDefault="002A275C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641D87" w:rsidRPr="00641D87" w:rsidRDefault="00014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9155F">
              <w:rPr>
                <w:sz w:val="24"/>
                <w:szCs w:val="24"/>
              </w:rPr>
              <w:t xml:space="preserve"> </w:t>
            </w:r>
            <w:r w:rsidR="00641D87" w:rsidRPr="00641D87">
              <w:rPr>
                <w:sz w:val="24"/>
                <w:szCs w:val="24"/>
              </w:rPr>
              <w:t>pt</w:t>
            </w:r>
            <w:r w:rsidR="0099155F">
              <w:rPr>
                <w:sz w:val="24"/>
                <w:szCs w:val="24"/>
              </w:rPr>
              <w:t>s</w:t>
            </w:r>
          </w:p>
        </w:tc>
      </w:tr>
      <w:tr w:rsidR="000140AB" w:rsidRPr="00641D87" w:rsidTr="00641D87">
        <w:tc>
          <w:tcPr>
            <w:tcW w:w="8550" w:type="dxa"/>
          </w:tcPr>
          <w:p w:rsidR="000140AB" w:rsidRDefault="00014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Bring and explain a symbol of your event – Must be a 3-D Object</w:t>
            </w:r>
          </w:p>
          <w:p w:rsidR="000140AB" w:rsidRDefault="000140AB">
            <w:pPr>
              <w:rPr>
                <w:sz w:val="24"/>
                <w:szCs w:val="24"/>
              </w:rPr>
            </w:pPr>
          </w:p>
          <w:p w:rsidR="000140AB" w:rsidRDefault="000140A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90" w:type="dxa"/>
          </w:tcPr>
          <w:p w:rsidR="000140AB" w:rsidRDefault="00014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</w:p>
        </w:tc>
      </w:tr>
      <w:tr w:rsidR="00641D87" w:rsidRPr="00641D87" w:rsidTr="00641D87">
        <w:tc>
          <w:tcPr>
            <w:tcW w:w="8550" w:type="dxa"/>
          </w:tcPr>
          <w:p w:rsidR="00641D87" w:rsidRDefault="00014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</w:t>
            </w:r>
            <w:r w:rsidR="0099155F">
              <w:rPr>
                <w:sz w:val="24"/>
                <w:szCs w:val="24"/>
              </w:rPr>
              <w:t xml:space="preserve"> the</w:t>
            </w:r>
            <w:r w:rsidR="002A275C">
              <w:rPr>
                <w:sz w:val="24"/>
                <w:szCs w:val="24"/>
              </w:rPr>
              <w:t xml:space="preserve"> colonial</w:t>
            </w:r>
            <w:r w:rsidR="00305F9F">
              <w:rPr>
                <w:sz w:val="24"/>
                <w:szCs w:val="24"/>
              </w:rPr>
              <w:t xml:space="preserve"> perspective</w:t>
            </w:r>
            <w:r w:rsidR="002A275C">
              <w:rPr>
                <w:sz w:val="24"/>
                <w:szCs w:val="24"/>
              </w:rPr>
              <w:t>:</w:t>
            </w:r>
          </w:p>
          <w:p w:rsidR="00305F9F" w:rsidRDefault="00305F9F">
            <w:pPr>
              <w:rPr>
                <w:sz w:val="24"/>
                <w:szCs w:val="24"/>
              </w:rPr>
            </w:pPr>
          </w:p>
          <w:p w:rsidR="00305F9F" w:rsidRDefault="00305F9F">
            <w:pPr>
              <w:rPr>
                <w:sz w:val="24"/>
                <w:szCs w:val="24"/>
              </w:rPr>
            </w:pPr>
          </w:p>
          <w:p w:rsidR="00305F9F" w:rsidRDefault="00305F9F">
            <w:pPr>
              <w:rPr>
                <w:sz w:val="24"/>
                <w:szCs w:val="24"/>
              </w:rPr>
            </w:pPr>
          </w:p>
          <w:p w:rsidR="00305F9F" w:rsidRPr="00641D87" w:rsidRDefault="00305F9F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641D87" w:rsidRPr="00641D87" w:rsidRDefault="00641D87">
            <w:pPr>
              <w:rPr>
                <w:sz w:val="24"/>
                <w:szCs w:val="24"/>
              </w:rPr>
            </w:pPr>
            <w:r w:rsidRPr="00641D87">
              <w:rPr>
                <w:sz w:val="24"/>
                <w:szCs w:val="24"/>
              </w:rPr>
              <w:t xml:space="preserve">1 </w:t>
            </w:r>
            <w:proofErr w:type="spellStart"/>
            <w:r w:rsidRPr="00641D87">
              <w:rPr>
                <w:sz w:val="24"/>
                <w:szCs w:val="24"/>
              </w:rPr>
              <w:t>pt</w:t>
            </w:r>
            <w:proofErr w:type="spellEnd"/>
          </w:p>
        </w:tc>
      </w:tr>
      <w:tr w:rsidR="00641D87" w:rsidRPr="00641D87" w:rsidTr="00641D87">
        <w:tc>
          <w:tcPr>
            <w:tcW w:w="8550" w:type="dxa"/>
          </w:tcPr>
          <w:p w:rsidR="00641D87" w:rsidRDefault="00014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</w:t>
            </w:r>
            <w:r w:rsidR="0099155F">
              <w:rPr>
                <w:sz w:val="24"/>
                <w:szCs w:val="24"/>
              </w:rPr>
              <w:t xml:space="preserve"> the British perspective</w:t>
            </w:r>
            <w:r w:rsidR="002A275C">
              <w:rPr>
                <w:sz w:val="24"/>
                <w:szCs w:val="24"/>
              </w:rPr>
              <w:t>:</w:t>
            </w:r>
          </w:p>
          <w:p w:rsidR="00305F9F" w:rsidRDefault="00305F9F">
            <w:pPr>
              <w:rPr>
                <w:sz w:val="24"/>
                <w:szCs w:val="24"/>
              </w:rPr>
            </w:pPr>
          </w:p>
          <w:p w:rsidR="00305F9F" w:rsidRDefault="00305F9F">
            <w:pPr>
              <w:rPr>
                <w:sz w:val="24"/>
                <w:szCs w:val="24"/>
              </w:rPr>
            </w:pPr>
          </w:p>
          <w:p w:rsidR="00305F9F" w:rsidRDefault="00305F9F">
            <w:pPr>
              <w:rPr>
                <w:sz w:val="24"/>
                <w:szCs w:val="24"/>
              </w:rPr>
            </w:pPr>
          </w:p>
          <w:p w:rsidR="002A275C" w:rsidRPr="00641D87" w:rsidRDefault="002A275C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641D87" w:rsidRPr="00641D87" w:rsidRDefault="00641D87">
            <w:pPr>
              <w:rPr>
                <w:sz w:val="24"/>
                <w:szCs w:val="24"/>
              </w:rPr>
            </w:pPr>
            <w:r w:rsidRPr="00641D87">
              <w:rPr>
                <w:sz w:val="24"/>
                <w:szCs w:val="24"/>
              </w:rPr>
              <w:t xml:space="preserve">1 </w:t>
            </w:r>
            <w:proofErr w:type="spellStart"/>
            <w:r w:rsidRPr="00641D87">
              <w:rPr>
                <w:sz w:val="24"/>
                <w:szCs w:val="24"/>
              </w:rPr>
              <w:t>pt</w:t>
            </w:r>
            <w:proofErr w:type="spellEnd"/>
          </w:p>
        </w:tc>
      </w:tr>
      <w:tr w:rsidR="00641D87" w:rsidRPr="00641D87" w:rsidTr="00641D87">
        <w:tc>
          <w:tcPr>
            <w:tcW w:w="8550" w:type="dxa"/>
          </w:tcPr>
          <w:p w:rsidR="00641D87" w:rsidRDefault="00991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your event justify revolution?</w:t>
            </w:r>
            <w:r w:rsidR="002A275C">
              <w:rPr>
                <w:sz w:val="24"/>
                <w:szCs w:val="24"/>
              </w:rPr>
              <w:t xml:space="preserve"> Explain.</w:t>
            </w:r>
          </w:p>
          <w:p w:rsidR="00305F9F" w:rsidRDefault="00305F9F">
            <w:pPr>
              <w:rPr>
                <w:sz w:val="24"/>
                <w:szCs w:val="24"/>
              </w:rPr>
            </w:pPr>
          </w:p>
          <w:p w:rsidR="00305F9F" w:rsidRDefault="00305F9F">
            <w:pPr>
              <w:rPr>
                <w:sz w:val="24"/>
                <w:szCs w:val="24"/>
              </w:rPr>
            </w:pPr>
          </w:p>
          <w:p w:rsidR="002A275C" w:rsidRDefault="002A275C">
            <w:pPr>
              <w:rPr>
                <w:sz w:val="24"/>
                <w:szCs w:val="24"/>
              </w:rPr>
            </w:pPr>
          </w:p>
          <w:p w:rsidR="00305F9F" w:rsidRPr="002A275C" w:rsidRDefault="00305F9F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641D87" w:rsidRPr="00641D87" w:rsidRDefault="00641D87">
            <w:pPr>
              <w:rPr>
                <w:sz w:val="24"/>
                <w:szCs w:val="24"/>
              </w:rPr>
            </w:pPr>
            <w:r w:rsidRPr="00641D87">
              <w:rPr>
                <w:sz w:val="24"/>
                <w:szCs w:val="24"/>
              </w:rPr>
              <w:t xml:space="preserve">1 </w:t>
            </w:r>
            <w:proofErr w:type="spellStart"/>
            <w:r w:rsidRPr="00641D87">
              <w:rPr>
                <w:sz w:val="24"/>
                <w:szCs w:val="24"/>
              </w:rPr>
              <w:t>pt</w:t>
            </w:r>
            <w:proofErr w:type="spellEnd"/>
          </w:p>
        </w:tc>
      </w:tr>
      <w:tr w:rsidR="00641D87" w:rsidRPr="00641D87" w:rsidTr="00147FB6">
        <w:trPr>
          <w:trHeight w:val="755"/>
        </w:trPr>
        <w:tc>
          <w:tcPr>
            <w:tcW w:w="8550" w:type="dxa"/>
          </w:tcPr>
          <w:p w:rsidR="00641D87" w:rsidRDefault="00305F9F" w:rsidP="00D8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</w:p>
          <w:p w:rsidR="00305F9F" w:rsidRPr="00641D87" w:rsidRDefault="00305F9F" w:rsidP="00D8001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147FB6" w:rsidRDefault="00641D87" w:rsidP="00D8001D">
            <w:pPr>
              <w:rPr>
                <w:sz w:val="24"/>
                <w:szCs w:val="24"/>
              </w:rPr>
            </w:pPr>
            <w:r w:rsidRPr="00641D87">
              <w:rPr>
                <w:sz w:val="24"/>
                <w:szCs w:val="24"/>
              </w:rPr>
              <w:t xml:space="preserve"> </w:t>
            </w:r>
          </w:p>
          <w:p w:rsidR="00641D87" w:rsidRPr="00641D87" w:rsidRDefault="000140AB" w:rsidP="00D80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/ 8</w:t>
            </w:r>
            <w:r w:rsidR="00641D87" w:rsidRPr="00641D87">
              <w:rPr>
                <w:sz w:val="24"/>
                <w:szCs w:val="24"/>
              </w:rPr>
              <w:t xml:space="preserve"> Points</w:t>
            </w:r>
          </w:p>
        </w:tc>
      </w:tr>
    </w:tbl>
    <w:p w:rsidR="00641D87" w:rsidRPr="00C317BB" w:rsidRDefault="00641D87">
      <w:pPr>
        <w:rPr>
          <w:sz w:val="28"/>
          <w:szCs w:val="28"/>
        </w:rPr>
      </w:pPr>
    </w:p>
    <w:sectPr w:rsidR="00641D87" w:rsidRPr="00C317BB" w:rsidSect="0038117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3C0E"/>
    <w:multiLevelType w:val="hybridMultilevel"/>
    <w:tmpl w:val="6D887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BB"/>
    <w:rsid w:val="000140AB"/>
    <w:rsid w:val="000314BD"/>
    <w:rsid w:val="00147FB6"/>
    <w:rsid w:val="001929CF"/>
    <w:rsid w:val="001F54AB"/>
    <w:rsid w:val="002A22BA"/>
    <w:rsid w:val="002A275C"/>
    <w:rsid w:val="00305F9F"/>
    <w:rsid w:val="00373661"/>
    <w:rsid w:val="00381171"/>
    <w:rsid w:val="004E59F0"/>
    <w:rsid w:val="00641D87"/>
    <w:rsid w:val="00895901"/>
    <w:rsid w:val="0099155F"/>
    <w:rsid w:val="00C317BB"/>
    <w:rsid w:val="00C50F9E"/>
    <w:rsid w:val="00CA636A"/>
    <w:rsid w:val="00D06123"/>
    <w:rsid w:val="00D709CF"/>
    <w:rsid w:val="00D8001D"/>
    <w:rsid w:val="00F1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B46716-1191-49DF-81B7-3C55462A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7BB"/>
    <w:pPr>
      <w:ind w:left="720"/>
      <w:contextualSpacing/>
    </w:pPr>
  </w:style>
  <w:style w:type="table" w:styleId="TableGrid">
    <w:name w:val="Table Grid"/>
    <w:basedOn w:val="TableNormal"/>
    <w:uiPriority w:val="39"/>
    <w:rsid w:val="0064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Gaskins</dc:creator>
  <cp:keywords/>
  <dc:description/>
  <cp:lastModifiedBy>Kate Gaskins</cp:lastModifiedBy>
  <cp:revision>2</cp:revision>
  <cp:lastPrinted>2018-09-25T18:45:00Z</cp:lastPrinted>
  <dcterms:created xsi:type="dcterms:W3CDTF">2018-09-25T19:32:00Z</dcterms:created>
  <dcterms:modified xsi:type="dcterms:W3CDTF">2018-09-25T19:32:00Z</dcterms:modified>
</cp:coreProperties>
</file>